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Presentación </w:t>
        <w:br w:type="textWrapping"/>
        <w:t xml:space="preserve">Buenas tardes, mi nombre 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Antonella Montero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tengo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 años,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soy mama de un nene de 1 año y 5 meses. Oriunda de Marindia pero hace poco más de un año vivo en Rivera. </w:t>
        <w:br w:type="textWrapping"/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</w:t>
        <w:br w:type="textWrapping"/>
        <w:t xml:space="preserve">La pobreza, el racismo y la discriminación social, son la primera dificultad con la que NNJA y populaciones migrantes se tienen que enfrentar día a día. </w:t>
        <w:br w:type="textWrapping"/>
        <w:t xml:space="preserve">La realidad del zonal B de Rivera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barrios, Magisterial, Ceballos, Caqueiro,5 Bocas, Pueblo Nuevo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es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existe ningún centro de desarrollo socio-artístico-cultural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sirva como contención para esta populación especifica.</w:t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Solución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Crear el espacio físico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 donde personas de diferentes, edades, religiones y culturas, se encuentran con el fin de compartir, capacitarse, y cooperar en la búsqueda por una sociedad mas justa e igualitaria.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Sueño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proyecto ha conseguido impactar a más de 40 personas a lo largo de sus tres años. Nuestra búsqueda es llegar a los más de 300 jóvenes.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Contamos conseguir el apoyo económico para poder hacer realidad nuestro espacio físico y con este dar continuidad a un trabajo de jóvenes que luchan por un mundo más justo.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 soy Antonella y formo parte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 mi Tambor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B36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